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highlight w:val="none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jc w:val="right"/>
        <w:rPr>
          <w:rFonts w:ascii="PT Astra Serif" w:hAnsi="PT Astra Serif"/>
          <w:szCs w:val="28"/>
        </w:rPr>
      </w:pPr>
      <w:r/>
      <w:bookmarkStart w:id="0" w:name="_GoBack"/>
      <w:r/>
      <w:bookmarkEnd w:id="0"/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945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ind w:left="-108" w:right="34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Об отчете о работе Счетной палаты </w:t>
            </w:r>
            <w:r>
              <w:rPr>
                <w:rFonts w:ascii="PT Astra Serif" w:hAnsi="PT Astra Serif"/>
                <w:szCs w:val="28"/>
              </w:rPr>
              <w:t xml:space="preserve">Алтайского края за 202</w:t>
            </w:r>
            <w:r>
              <w:rPr>
                <w:rFonts w:ascii="PT Astra Serif" w:hAnsi="PT Astra Serif"/>
                <w:szCs w:val="28"/>
              </w:rPr>
              <w:t xml:space="preserve">4 год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114"/>
              <w:jc w:val="right"/>
              <w:tabs>
                <w:tab w:val="center" w:pos="1168" w:leader="none"/>
                <w:tab w:val="left" w:pos="4853" w:leader="none"/>
              </w:tabs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    </w:t>
            </w: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ab/>
              <w:t xml:space="preserve">                                                        </w:t>
            </w:r>
            <w:r>
              <w:rPr>
                <w:rFonts w:ascii="PT Astra Serif" w:hAnsi="PT Astra Serif"/>
                <w:szCs w:val="28"/>
              </w:rPr>
              <w:tab/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Рассмотрев отчет о работе Счетной палаты Алтайского края за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год, в соответствии со статьей 73 Устава (Основного Закона) Алтайского края, статьей 19 закона Алтайского края </w:t>
      </w:r>
      <w:r>
        <w:rPr>
          <w:rFonts w:ascii="PT Astra Serif" w:hAnsi="PT Astra Serif"/>
          <w:szCs w:val="28"/>
        </w:rPr>
        <w:t xml:space="preserve">от 10 октября 2011 года № 123-ЗС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«О Счетной палате Алтайского края» Алтайское краевое Законодательное Собрание 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к сведению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тчет о работе Счетной палаты Алтайского края за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Рекомендовать Счетной палате Алтайского края: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1)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определ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ение приоритетов деятельности Счетной палаты Алтайского края осуществлять в рамках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стратеги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развития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Счетной палат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на среднесрочную перспективу;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организовать в пределах своей компетенции работу по контролю за выполнением положений Послания Президента Российской Федерации Федеральному Собранию Российской Федерации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от 29 февраля 2024 года;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shd w:val="clear" w:color="auto" w:fill="fdfdfd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3)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осуществлять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аудит формирования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краевого бюджета, бюджета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Территориального фонда обязательного медицинского страхования Алтайского края, экспертизу проектов законов и иных нормативных правовых актов Алтайского края, обратив особое внимание на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документы стратегического планирования Алтайского края;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dfdfd"/>
        </w:rPr>
        <w:t xml:space="preserve"> </w:t>
      </w:r>
      <w:r>
        <w:rPr>
          <w:rFonts w:ascii="PT Astra Serif" w:hAnsi="PT Astra Serif" w:cs="PT Astra Serif"/>
          <w:sz w:val="28"/>
          <w:szCs w:val="28"/>
          <w:shd w:val="clear" w:color="auto" w:fill="fdfdfd"/>
        </w:rPr>
      </w:r>
      <w:r>
        <w:rPr>
          <w:rFonts w:ascii="PT Astra Serif" w:hAnsi="PT Astra Serif" w:cs="PT Astra Serif"/>
          <w:sz w:val="28"/>
          <w:szCs w:val="28"/>
          <w:shd w:val="clear" w:color="auto" w:fill="fdfdfd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продолжить реализацию комплекса мероприятий по контролю за исполнением краевого бюджета, бюджета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Территориального фонда обязательного медицинского страхования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 по ежеквартальному информированию Алтайского краевого Законодательного Собрания о ходе исполнения краевого бюджета,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бюджета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Территориального фонда обязательного медицинского страхования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продолжить практику проведения совместных со Счетной палатой Российской Федерации контрольных и экспертно-аналитических мероприятий;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продолжить практику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проведения контрольных мероприятий в компаниях с государственным участием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обратив особое внимание на достижение положительных финансовых результатов деятельности и эффективное использование закрепленного имущества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продолжить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практику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проведени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мониторинга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достижения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ответственными исполнителями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целевых показателей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и индикаторов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региональных составляющих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национальных проектов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результат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проведенных контрольных и экспертно-аналитических мероприятий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подготавливать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предоставлять Алтайскому краевому Законодательному Собранию информацию о результатах наиболее значимых мероприятий в целях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выработки предложений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повышени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эффективности использования бюджетных средств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повысить результативность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комплексных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контрольных мероприятий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осуществляемых в отношении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муниципальны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образовани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родолжить работу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изучению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внедрению лучших практик организации деятельности органов внешнего государственного финансового контроля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целях повышения результативности проводимых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мероприятий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продолжить работу по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повышению эффективности деятельности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системы внешнего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финансового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 контроля в Алтайском крае на основе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расширения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взаимодействия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муниципальными контрольно-счетными органами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рамках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Совета контрольно-счетных органов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  <w:tab w:val="left" w:pos="1134" w:leader="none"/>
        </w:tabs>
        <w:rPr>
          <w:rFonts w:ascii="PT Astra Serif" w:hAnsi="PT Astra Serif" w:cs="PT Astra Serif"/>
          <w:color w:val="7030a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организовать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разработку типовых стандартов внешнего муниципального финансового контроля, устанавливающих общие требования, правила и процедуры проведения контрольных и экспертно-аналитических мероприятий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осуществления контроля за реализацией документов, подготовленных по результатам данных мероприятий, для использования в работе муниципальными контрольно-счетными органами Алтайского края</w:t>
      </w:r>
      <w:r>
        <w:rPr>
          <w:rFonts w:ascii="PT Astra Serif" w:hAnsi="PT Astra Serif" w:eastAsia="PT Astra Serif" w:cs="PT Astra Serif"/>
          <w:color w:val="7030a0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7030a0"/>
          <w:sz w:val="28"/>
          <w:szCs w:val="28"/>
        </w:rPr>
      </w:r>
      <w:r>
        <w:rPr>
          <w:rFonts w:ascii="PT Astra Serif" w:hAnsi="PT Astra Serif" w:cs="PT Astra Serif"/>
          <w:color w:val="7030a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pacing w:val="-3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pacing w:val="-3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pacing w:val="-3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Рекомендовать органам местного самоуправления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Курьинского,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Кытмановского, Поспелихинского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Хабарского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районов Алтайского края принять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исчерпывающие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меры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внешнего муниципального финансового контроля на </w:t>
      </w:r>
      <w:r>
        <w:rPr>
          <w:rFonts w:ascii="PT Astra Serif" w:hAnsi="PT Astra Serif" w:eastAsia="PT Astra Serif" w:cs="PT Astra Serif"/>
          <w:spacing w:val="-3"/>
          <w:sz w:val="28"/>
          <w:szCs w:val="28"/>
        </w:rPr>
        <w:t xml:space="preserve">территориях муниципальных образований, входящих в состав данных районов.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pacing w:val="-3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7030a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Постоянным комитетам Алтайского краевого Законодательного Собрания проводить обсуждение результатов наиболее значимых контрольных и экспертно-аналитических мероприятий, проведенных Счетной палатой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поручениям Алтайского краевого Законодательного Собрания, с целью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выработки предложений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направленных на устранение выявленных нарушений.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7030a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 за исполнением настоящего постановления возложить на постоянный комитет Алтайского краевого Законодательного Собрания по бюджетной, налоговой, экономической политике и имущественным отношениям.</w:t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/>
          <w:highlight w:val="none"/>
        </w:rPr>
      </w:pP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szCs w:val="28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945"/>
        <w:tblpPr w:horzAnchor="margin" w:tblpXSpec="left" w:vertAnchor="text" w:tblpY="355" w:leftFromText="180" w:topFromText="0" w:rightFromText="180" w:bottomFromText="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    </w:t>
            </w:r>
            <w:r>
              <w:rPr>
                <w:rFonts w:ascii="PT Astra Serif" w:hAnsi="PT Astra Serif"/>
                <w:szCs w:val="28"/>
              </w:rPr>
              <w:t xml:space="preserve">           </w:t>
            </w:r>
            <w:r>
              <w:rPr>
                <w:rFonts w:ascii="PT Astra Serif" w:hAnsi="PT Astra Serif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4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945"/>
      <w:tblW w:w="963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665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38"/>
    <w:next w:val="938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basedOn w:val="941"/>
    <w:link w:val="766"/>
    <w:uiPriority w:val="9"/>
    <w:rPr>
      <w:rFonts w:ascii="Arial" w:hAnsi="Arial" w:eastAsia="Arial" w:cs="Arial"/>
      <w:sz w:val="40"/>
      <w:szCs w:val="40"/>
    </w:rPr>
  </w:style>
  <w:style w:type="character" w:styleId="768">
    <w:name w:val="Heading 2 Char"/>
    <w:basedOn w:val="941"/>
    <w:link w:val="939"/>
    <w:uiPriority w:val="9"/>
    <w:rPr>
      <w:rFonts w:ascii="Arial" w:hAnsi="Arial" w:eastAsia="Arial" w:cs="Arial"/>
      <w:sz w:val="34"/>
    </w:rPr>
  </w:style>
  <w:style w:type="paragraph" w:styleId="769">
    <w:name w:val="Heading 3"/>
    <w:basedOn w:val="938"/>
    <w:next w:val="938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0">
    <w:name w:val="Heading 3 Char"/>
    <w:basedOn w:val="941"/>
    <w:link w:val="769"/>
    <w:uiPriority w:val="9"/>
    <w:rPr>
      <w:rFonts w:ascii="Arial" w:hAnsi="Arial" w:eastAsia="Arial" w:cs="Arial"/>
      <w:sz w:val="30"/>
      <w:szCs w:val="30"/>
    </w:rPr>
  </w:style>
  <w:style w:type="paragraph" w:styleId="771">
    <w:name w:val="Heading 4"/>
    <w:basedOn w:val="938"/>
    <w:next w:val="938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>
    <w:name w:val="Heading 4 Char"/>
    <w:basedOn w:val="941"/>
    <w:link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73">
    <w:name w:val="Heading 5 Char"/>
    <w:basedOn w:val="941"/>
    <w:link w:val="940"/>
    <w:uiPriority w:val="9"/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38"/>
    <w:next w:val="938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basedOn w:val="941"/>
    <w:link w:val="774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38"/>
    <w:next w:val="93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basedOn w:val="941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38"/>
    <w:next w:val="938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basedOn w:val="941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38"/>
    <w:next w:val="938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basedOn w:val="941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No Spacing"/>
    <w:uiPriority w:val="1"/>
    <w:qFormat/>
    <w:pPr>
      <w:spacing w:before="0" w:after="0" w:line="240" w:lineRule="auto"/>
    </w:pPr>
  </w:style>
  <w:style w:type="paragraph" w:styleId="783">
    <w:name w:val="Title"/>
    <w:basedOn w:val="938"/>
    <w:next w:val="938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basedOn w:val="941"/>
    <w:link w:val="783"/>
    <w:uiPriority w:val="10"/>
    <w:rPr>
      <w:sz w:val="48"/>
      <w:szCs w:val="48"/>
    </w:rPr>
  </w:style>
  <w:style w:type="paragraph" w:styleId="785">
    <w:name w:val="Subtitle"/>
    <w:basedOn w:val="938"/>
    <w:next w:val="938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basedOn w:val="941"/>
    <w:link w:val="785"/>
    <w:uiPriority w:val="11"/>
    <w:rPr>
      <w:sz w:val="24"/>
      <w:szCs w:val="24"/>
    </w:rPr>
  </w:style>
  <w:style w:type="paragraph" w:styleId="787">
    <w:name w:val="Quote"/>
    <w:basedOn w:val="938"/>
    <w:next w:val="938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38"/>
    <w:next w:val="938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character" w:styleId="791">
    <w:name w:val="Header Char"/>
    <w:basedOn w:val="941"/>
    <w:link w:val="946"/>
    <w:uiPriority w:val="99"/>
  </w:style>
  <w:style w:type="character" w:styleId="792">
    <w:name w:val="Footer Char"/>
    <w:basedOn w:val="941"/>
    <w:link w:val="948"/>
    <w:uiPriority w:val="99"/>
  </w:style>
  <w:style w:type="paragraph" w:styleId="793">
    <w:name w:val="Caption"/>
    <w:basedOn w:val="938"/>
    <w:next w:val="9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948"/>
    <w:uiPriority w:val="99"/>
  </w:style>
  <w:style w:type="table" w:styleId="795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4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8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0">
    <w:name w:val="Hyperlink"/>
    <w:uiPriority w:val="99"/>
    <w:unhideWhenUsed/>
    <w:rPr>
      <w:color w:val="0000ff" w:themeColor="hyperlink"/>
      <w:u w:val="single"/>
    </w:rPr>
  </w:style>
  <w:style w:type="paragraph" w:styleId="921">
    <w:name w:val="footnote text"/>
    <w:basedOn w:val="938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>
    <w:name w:val="Footnote Text Char"/>
    <w:link w:val="921"/>
    <w:uiPriority w:val="99"/>
    <w:rPr>
      <w:sz w:val="18"/>
    </w:rPr>
  </w:style>
  <w:style w:type="character" w:styleId="923">
    <w:name w:val="footnote reference"/>
    <w:basedOn w:val="941"/>
    <w:uiPriority w:val="99"/>
    <w:unhideWhenUsed/>
    <w:rPr>
      <w:vertAlign w:val="superscript"/>
    </w:rPr>
  </w:style>
  <w:style w:type="paragraph" w:styleId="924">
    <w:name w:val="endnote text"/>
    <w:basedOn w:val="938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basedOn w:val="941"/>
    <w:uiPriority w:val="99"/>
    <w:semiHidden/>
    <w:unhideWhenUsed/>
    <w:rPr>
      <w:vertAlign w:val="superscript"/>
    </w:rPr>
  </w:style>
  <w:style w:type="paragraph" w:styleId="927">
    <w:name w:val="toc 1"/>
    <w:basedOn w:val="938"/>
    <w:next w:val="938"/>
    <w:uiPriority w:val="39"/>
    <w:unhideWhenUsed/>
    <w:pPr>
      <w:ind w:left="0" w:right="0" w:firstLine="0"/>
      <w:spacing w:after="57"/>
    </w:pPr>
  </w:style>
  <w:style w:type="paragraph" w:styleId="928">
    <w:name w:val="toc 2"/>
    <w:basedOn w:val="938"/>
    <w:next w:val="938"/>
    <w:uiPriority w:val="39"/>
    <w:unhideWhenUsed/>
    <w:pPr>
      <w:ind w:left="283" w:right="0" w:firstLine="0"/>
      <w:spacing w:after="57"/>
    </w:pPr>
  </w:style>
  <w:style w:type="paragraph" w:styleId="929">
    <w:name w:val="toc 3"/>
    <w:basedOn w:val="938"/>
    <w:next w:val="938"/>
    <w:uiPriority w:val="39"/>
    <w:unhideWhenUsed/>
    <w:pPr>
      <w:ind w:left="567" w:right="0" w:firstLine="0"/>
      <w:spacing w:after="57"/>
    </w:pPr>
  </w:style>
  <w:style w:type="paragraph" w:styleId="930">
    <w:name w:val="toc 4"/>
    <w:basedOn w:val="938"/>
    <w:next w:val="938"/>
    <w:uiPriority w:val="39"/>
    <w:unhideWhenUsed/>
    <w:pPr>
      <w:ind w:left="850" w:right="0" w:firstLine="0"/>
      <w:spacing w:after="57"/>
    </w:pPr>
  </w:style>
  <w:style w:type="paragraph" w:styleId="931">
    <w:name w:val="toc 5"/>
    <w:basedOn w:val="938"/>
    <w:next w:val="938"/>
    <w:uiPriority w:val="39"/>
    <w:unhideWhenUsed/>
    <w:pPr>
      <w:ind w:left="1134" w:right="0" w:firstLine="0"/>
      <w:spacing w:after="57"/>
    </w:pPr>
  </w:style>
  <w:style w:type="paragraph" w:styleId="932">
    <w:name w:val="toc 6"/>
    <w:basedOn w:val="938"/>
    <w:next w:val="938"/>
    <w:uiPriority w:val="39"/>
    <w:unhideWhenUsed/>
    <w:pPr>
      <w:ind w:left="1417" w:right="0" w:firstLine="0"/>
      <w:spacing w:after="57"/>
    </w:pPr>
  </w:style>
  <w:style w:type="paragraph" w:styleId="933">
    <w:name w:val="toc 7"/>
    <w:basedOn w:val="938"/>
    <w:next w:val="938"/>
    <w:uiPriority w:val="39"/>
    <w:unhideWhenUsed/>
    <w:pPr>
      <w:ind w:left="1701" w:right="0" w:firstLine="0"/>
      <w:spacing w:after="57"/>
    </w:pPr>
  </w:style>
  <w:style w:type="paragraph" w:styleId="934">
    <w:name w:val="toc 8"/>
    <w:basedOn w:val="938"/>
    <w:next w:val="938"/>
    <w:uiPriority w:val="39"/>
    <w:unhideWhenUsed/>
    <w:pPr>
      <w:ind w:left="1984" w:right="0" w:firstLine="0"/>
      <w:spacing w:after="57"/>
    </w:pPr>
  </w:style>
  <w:style w:type="paragraph" w:styleId="935">
    <w:name w:val="toc 9"/>
    <w:basedOn w:val="938"/>
    <w:next w:val="938"/>
    <w:uiPriority w:val="39"/>
    <w:unhideWhenUsed/>
    <w:pPr>
      <w:ind w:left="2268" w:right="0" w:firstLine="0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938"/>
    <w:next w:val="938"/>
    <w:uiPriority w:val="99"/>
    <w:unhideWhenUsed/>
    <w:pPr>
      <w:spacing w:after="0" w:afterAutospacing="0"/>
    </w:pPr>
  </w:style>
  <w:style w:type="paragraph" w:styleId="9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9">
    <w:name w:val="Heading 2"/>
    <w:basedOn w:val="938"/>
    <w:next w:val="938"/>
    <w:link w:val="952"/>
    <w:qFormat/>
    <w:pPr>
      <w:jc w:val="center"/>
      <w:keepNext/>
      <w:outlineLvl w:val="1"/>
    </w:pPr>
    <w:rPr>
      <w:b/>
      <w:spacing w:val="80"/>
      <w:sz w:val="36"/>
    </w:rPr>
  </w:style>
  <w:style w:type="paragraph" w:styleId="940">
    <w:name w:val="Heading 5"/>
    <w:basedOn w:val="938"/>
    <w:next w:val="938"/>
    <w:link w:val="944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character" w:styleId="944" w:customStyle="1">
    <w:name w:val="Заголовок 5 Знак"/>
    <w:basedOn w:val="941"/>
    <w:link w:val="94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5">
    <w:name w:val="Table Grid"/>
    <w:basedOn w:val="94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6">
    <w:name w:val="Header"/>
    <w:basedOn w:val="938"/>
    <w:link w:val="9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basedOn w:val="941"/>
    <w:link w:val="94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8">
    <w:name w:val="Footer"/>
    <w:basedOn w:val="938"/>
    <w:link w:val="9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9" w:customStyle="1">
    <w:name w:val="Нижний колонтитул Знак"/>
    <w:basedOn w:val="941"/>
    <w:link w:val="94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0">
    <w:name w:val="Balloon Text"/>
    <w:basedOn w:val="938"/>
    <w:link w:val="9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1" w:customStyle="1">
    <w:name w:val="Текст выноски Знак"/>
    <w:basedOn w:val="941"/>
    <w:link w:val="95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2" w:customStyle="1">
    <w:name w:val="Заголовок 2 Знак"/>
    <w:basedOn w:val="941"/>
    <w:link w:val="93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3">
    <w:name w:val="Placeholder Text"/>
    <w:basedOn w:val="941"/>
    <w:uiPriority w:val="99"/>
    <w:semiHidden/>
    <w:rPr>
      <w:color w:val="808080"/>
    </w:rPr>
  </w:style>
  <w:style w:type="paragraph" w:styleId="954">
    <w:name w:val="List Paragraph"/>
    <w:basedOn w:val="938"/>
    <w:uiPriority w:val="34"/>
    <w:qFormat/>
    <w:pPr>
      <w:contextualSpacing/>
      <w:ind w:left="720"/>
    </w:pPr>
  </w:style>
  <w:style w:type="paragraph" w:styleId="955">
    <w:name w:val="Plain Text"/>
    <w:basedOn w:val="938"/>
    <w:link w:val="956"/>
    <w:pPr>
      <w:widowControl w:val="off"/>
    </w:pPr>
    <w:rPr>
      <w:rFonts w:ascii="Courier New" w:hAnsi="Courier New" w:cs="Courier New"/>
      <w:sz w:val="20"/>
    </w:rPr>
  </w:style>
  <w:style w:type="character" w:styleId="956" w:customStyle="1">
    <w:name w:val="Текст Знак"/>
    <w:basedOn w:val="941"/>
    <w:link w:val="955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6</cp:revision>
  <dcterms:created xsi:type="dcterms:W3CDTF">2024-05-28T09:39:00Z</dcterms:created>
  <dcterms:modified xsi:type="dcterms:W3CDTF">2025-06-09T12:25:05Z</dcterms:modified>
</cp:coreProperties>
</file>